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F2" w:rsidRPr="00C8796C" w:rsidRDefault="00FF4FF2" w:rsidP="00FF4FF2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к решению Думы Невьянского городского округа                                                                                                         от </w:t>
      </w:r>
      <w:r w:rsidR="00FD135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23.10.2024 </w:t>
      </w:r>
      <w:r w:rsidR="00C8796C" w:rsidRPr="00C879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FD135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91</w:t>
      </w:r>
      <w:bookmarkStart w:id="0" w:name="_GoBack"/>
      <w:bookmarkEnd w:id="0"/>
    </w:p>
    <w:p w:rsidR="00FF4FF2" w:rsidRPr="00FF4FF2" w:rsidRDefault="00FF4FF2" w:rsidP="00FF4FF2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F4FF2" w:rsidRPr="00FF4FF2" w:rsidRDefault="00FF4FF2" w:rsidP="00FF4FF2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 текущих результатах реализации стратегии развития Невьянского городского округа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Решением Думы Невьянского городского округа от 28.11.2018 № 114 утверждена Стратегия социально-экономического развития Невьянского городского округа на период до 2035 года (далее – Стратегия).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Целью Стратегии является повышение качества жизни жителей округа на основе сбалансированного экономического развития округа как территории устойчивого роста, комфортной для проживания, посещения, реализации творческого потенциала и успешного ведения бизнеса.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реализации стратегических планов предусмотрены пять социально-значимых стратегических проектов: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Строительство школы на 1000 мест в городе Невьянске;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Строительство детского сада на 150 мест в г. Невьянске;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Открытие в городе Невьянске учреждения дополнительного образования - Центра технического творчества детей и подростков;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Строительство газопровода к пос. Аять Невьянского района и внутрипоселковых распределительных сетей;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Реконструкция бассейна при МКУ ДО «ДЮСШ» поселка Цементный Невьянского района.</w:t>
      </w:r>
    </w:p>
    <w:p w:rsidR="00FF4FF2" w:rsidRPr="00FF4FF2" w:rsidRDefault="00C8796C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Два проекта реализованы</w:t>
      </w:r>
      <w:r w:rsidRPr="00C879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FF4FF2"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троительство школы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1000 мест в городе Невьянске, р</w:t>
      </w:r>
      <w:r w:rsidR="00FF4FF2"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еконструкция здания бассейна с пристроем.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 проекта запланированы к реализации.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Строительство детского сада на 150 мест в г. Невьянске.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сегодняшний день дефицит мест в детских садах Невьянского городского округа отсутствует.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перспективу планируется создать 6 групп по 25 человек, в том числе: 1 группа для детей младшего возраста от 3 до 4 лет; 1 группа для детей среднего возраста от 4 до 5 лет; 2 группы для детей старшего возраста от 5 до 6 лет; 2 подготовительные группы для детей в возрасте от 6 до 7 лет. После ввода в эксплуатацию нового здания дошкольной образовательной организации планируется: вывести из эксплуатации здание корпуса № 3 «Теремок» МБДОУ детский сад № 6 «Снежинка» с переводом 20 детей</w:t>
      </w: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новое здание; перевод 27 детей из корпуса № 2 «Соболек» МБДОУ детский сад комбинированного вида № 12 «Белочка» в новое здание; на период капитального ремонта корпуса № 2 «Калинка» МБДОУ детский сад № 44 «Солнышко» перевести 43 ребенка в новое здание.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Открытие в городе Невьянске учреждения дополнительного образования – Центра технического творчества детей и подростков.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Размещение Центра технического творчества детей и подростков планируется на базе МАОУ СОШ № 6, в которой расположен технический блок, оснащенный необходимым оборудование.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сегодняшний день существует дефицит кадрового состава</w:t>
      </w: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для руководства по данному направлению и разработке программ обучения.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Строительство газопровода к пос. Аять Невьянского района и внутрипоселковых распределительных сетей.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целью газификации поселка Аять Невьянского района и повышения надежности системы газоснабжения, администрацией Невьянского городского округа были проведены работы по включению объекта капитального строительства: «ГРС южнее озера Таватуй» в схему территориального планирования Свердловской области. Заявка о включении данного объекта в схему территориального планирования Свердловской области рассмотрена и постановлением Правительства Свердловской области от 20.05.2021 № 295-ПП «О внесении изменений в Схему территориального планирования Свердловской области, утвержденную Постановлением Правительства Свердловской области от 31.08.2009 № 1000-ПП» данный объект включен в Перечень планируемых к строительству объектов регионального значения газоснабжения в сфере энергетики на 2035 год. Администрация Невьянского городского округа не вправе осуществить перенос существующей ГРС п. Калиново южнее озера Таватуй, так как вышеуказанная ГРС находится в собственности ООО «Газпром трансгаз Екатеринбург». После строительства регионального объекта капитального строительства «ГРС южнее озера Таватуй» и ввода ее в эксплуатацию, администрацией Невьянского городского округа будут предусмотрены денежные средства на выполнение работ по внесению изменений в Генеральную схему газоснабжения и газификации Свердловской области на период до 2028 года и перспективу до 2035 года с целью включения в данную схему п. Аять. После этого будут запланированы денежные средства на выполнение работ по разработке проектно-сметной документации межпоселкового газопровода к поселку Аять.</w:t>
      </w:r>
    </w:p>
    <w:p w:rsid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 администрации Невьянского городского округа</w:t>
      </w: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от 01.09.2020 № 1146-п утвержден План мероприятий по реализации стратегии социально-экономического развития Невьянского городского округа на период до 2035 года (далее – План мероприятий). По достижению целевых показателей, предусмотренных к реализации на перио</w:t>
      </w:r>
      <w:r w:rsidR="00541B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 </w:t>
      </w: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2035 года запланировано к реализации 117 мероприятий.</w:t>
      </w:r>
    </w:p>
    <w:p w:rsidR="009100C8" w:rsidRPr="00FF4FF2" w:rsidRDefault="008F42F8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F42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исполнение пп. 5.3 пункта 5 части I протокола совещания под руководством Губернатора Свердловской области Е.В. Куйвашева по вопросам кадрового обеспечения предприятий оборонно-промышленного комплекса Свердловской области от 18.06.2024 № 9-ЕК постановлением администрации Невьянского городского округа от 23.09.2024 № 2104-п внесены изменения в План мероприятий по реализации Стратегии социально-экономического развития Невьянского городского округа на период до 2035 года, дополнен раздел по кадровому обеспечению.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Ответственные исполнители ежегодно формируют и направляют в отдел экономики, торговли и бытового обслуживания администрации отчет по исполнению Плана мероприятий.</w:t>
      </w: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F4F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 экономики формирует сводный отчет по исполнению Плана мероприятий, направляет главе Невьянского городского округа для утверждения, после утверждения размещает на официальном сайте Невьянского городского округа (https://nevyansk66.ru/economy/razrabotka-strategii-2030/).</w:t>
      </w:r>
    </w:p>
    <w:p w:rsidR="00FF4FF2" w:rsidRPr="00FF4FF2" w:rsidRDefault="00FF4FF2" w:rsidP="00FF4FF2">
      <w:pPr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F4FF2" w:rsidRPr="00FF4FF2" w:rsidRDefault="00FF4FF2" w:rsidP="00FF4FF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F4FF2" w:rsidRPr="00FF4FF2" w:rsidRDefault="00FF4FF2" w:rsidP="00FF4FF2">
      <w:pPr>
        <w:tabs>
          <w:tab w:val="left" w:pos="709"/>
        </w:tabs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:rsidR="00AA460E" w:rsidRDefault="00AA460E"/>
    <w:sectPr w:rsidR="00AA460E" w:rsidSect="00750D40">
      <w:headerReference w:type="default" r:id="rId7"/>
      <w:footerReference w:type="default" r:id="rId8"/>
      <w:headerReference w:type="first" r:id="rId9"/>
      <w:pgSz w:w="11910" w:h="16840"/>
      <w:pgMar w:top="1134" w:right="567" w:bottom="567" w:left="1701" w:header="340" w:footer="227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AC" w:rsidRDefault="00DA47AC" w:rsidP="00FF4FF2">
      <w:pPr>
        <w:spacing w:after="0" w:line="240" w:lineRule="auto"/>
      </w:pPr>
      <w:r>
        <w:separator/>
      </w:r>
    </w:p>
  </w:endnote>
  <w:endnote w:type="continuationSeparator" w:id="0">
    <w:p w:rsidR="00DA47AC" w:rsidRDefault="00DA47AC" w:rsidP="00F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F2" w:rsidRPr="005429F9" w:rsidRDefault="00FF4FF2" w:rsidP="00FF4FF2">
    <w:pPr>
      <w:tabs>
        <w:tab w:val="center" w:pos="4677"/>
        <w:tab w:val="right" w:pos="9355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AC" w:rsidRDefault="00DA47AC" w:rsidP="00FF4FF2">
      <w:pPr>
        <w:spacing w:after="0" w:line="240" w:lineRule="auto"/>
      </w:pPr>
      <w:r>
        <w:separator/>
      </w:r>
    </w:p>
  </w:footnote>
  <w:footnote w:type="continuationSeparator" w:id="0">
    <w:p w:rsidR="00DA47AC" w:rsidRDefault="00DA47AC" w:rsidP="00F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924542"/>
      <w:docPartObj>
        <w:docPartGallery w:val="Page Numbers (Top of Page)"/>
        <w:docPartUnique/>
      </w:docPartObj>
    </w:sdtPr>
    <w:sdtEndPr/>
    <w:sdtContent>
      <w:p w:rsidR="0051194F" w:rsidRDefault="00511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5E">
          <w:rPr>
            <w:noProof/>
          </w:rPr>
          <w:t>3</w:t>
        </w:r>
        <w:r>
          <w:fldChar w:fldCharType="end"/>
        </w:r>
      </w:p>
    </w:sdtContent>
  </w:sdt>
  <w:p w:rsidR="00750D40" w:rsidRDefault="00750D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757753"/>
      <w:docPartObj>
        <w:docPartGallery w:val="Page Numbers (Top of Page)"/>
        <w:docPartUnique/>
      </w:docPartObj>
    </w:sdtPr>
    <w:sdtEndPr/>
    <w:sdtContent>
      <w:p w:rsidR="00750D40" w:rsidRDefault="00750D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0D40" w:rsidRDefault="00750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F2"/>
    <w:rsid w:val="0051194F"/>
    <w:rsid w:val="00541BE0"/>
    <w:rsid w:val="00750D40"/>
    <w:rsid w:val="008F42F8"/>
    <w:rsid w:val="009100C8"/>
    <w:rsid w:val="00993B3E"/>
    <w:rsid w:val="00AA460E"/>
    <w:rsid w:val="00C8796C"/>
    <w:rsid w:val="00DA47AC"/>
    <w:rsid w:val="00FD135E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F4FF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F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F4FF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F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Ponomareva</dc:creator>
  <cp:keywords/>
  <dc:description/>
  <cp:lastModifiedBy>Nadegda A. Alexandrova</cp:lastModifiedBy>
  <cp:revision>6</cp:revision>
  <dcterms:created xsi:type="dcterms:W3CDTF">2024-10-11T09:36:00Z</dcterms:created>
  <dcterms:modified xsi:type="dcterms:W3CDTF">2024-10-24T05:20:00Z</dcterms:modified>
</cp:coreProperties>
</file>