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1D" w:rsidRPr="0054291D" w:rsidRDefault="00315BE6" w:rsidP="005429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291D" w:rsidRPr="0054291D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</w:p>
    <w:p w:rsidR="0054291D" w:rsidRPr="0054291D" w:rsidRDefault="0054291D" w:rsidP="005429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291D">
        <w:rPr>
          <w:rFonts w:ascii="Times New Roman" w:eastAsia="Times New Roman" w:hAnsi="Times New Roman" w:cs="Times New Roman"/>
          <w:sz w:val="28"/>
          <w:szCs w:val="28"/>
        </w:rPr>
        <w:t xml:space="preserve">к решению Думы                                                   Невьянского городского округа </w:t>
      </w:r>
    </w:p>
    <w:p w:rsidR="0054291D" w:rsidRPr="00083D42" w:rsidRDefault="0054291D" w:rsidP="005429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54291D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DB4151" w:rsidRPr="006C7A9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91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B4151" w:rsidRPr="006C7A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291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B4151" w:rsidRPr="006C7A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291D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223682" w:rsidRPr="00083D42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54291D" w:rsidRPr="0054291D" w:rsidRDefault="0054291D">
      <w:pPr>
        <w:rPr>
          <w:rFonts w:ascii="Times New Roman" w:hAnsi="Times New Roman" w:cs="Times New Roman"/>
          <w:sz w:val="28"/>
          <w:szCs w:val="28"/>
        </w:rPr>
      </w:pPr>
    </w:p>
    <w:p w:rsidR="00521C66" w:rsidRPr="00223682" w:rsidRDefault="0004355D" w:rsidP="00521C6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4355D">
        <w:rPr>
          <w:rFonts w:ascii="Liberation Serif" w:eastAsia="Times New Roman" w:hAnsi="Liberation Serif" w:cs="Times New Roman"/>
          <w:b/>
          <w:sz w:val="28"/>
          <w:szCs w:val="28"/>
        </w:rPr>
        <w:t xml:space="preserve">Отчет о работе </w:t>
      </w:r>
      <w:r w:rsidR="00521C66" w:rsidRPr="00521C66">
        <w:rPr>
          <w:rFonts w:ascii="Liberation Serif" w:eastAsia="Times New Roman" w:hAnsi="Liberation Serif" w:cs="Times New Roman"/>
          <w:b/>
          <w:sz w:val="28"/>
          <w:szCs w:val="28"/>
        </w:rPr>
        <w:t>Государственного автономного учреждения здравоохранения Свердловской области «Невьянская центральная районная больница» в рамках исполнения национального проекта «Здравоохранение»</w:t>
      </w:r>
    </w:p>
    <w:p w:rsidR="006C7A9A" w:rsidRPr="00223682" w:rsidRDefault="006C7A9A" w:rsidP="00521C6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6C7A9A" w:rsidRPr="006C7A9A" w:rsidRDefault="006C7A9A" w:rsidP="006C7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              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В 2023 году показатель рождаемости составил 8,6 на 1000 населения (320 чел.), за 2022г. – 8,8 (355 чел.). В сравнении с прошлым годом произошло снижение рождаемости  на 9,9%. Средне-областной показатель – 10,5.</w:t>
      </w:r>
    </w:p>
    <w:p w:rsidR="006C7A9A" w:rsidRPr="006C7A9A" w:rsidRDefault="006C7A9A" w:rsidP="006C7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Показатель общей смертности в 2023 году  увеличился на 1,96% и составила  15,3 на 1000 населения  (571 чел.), в 2022 году  14,0 (560 чел.). Средне-областной показатель – 13,0.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В 2023 году основными причинами смерти являлись неинфекционные заболевания: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*1 место - болезни системы кровообращения – 278 случая – 48,69% в структуре общей смертности, в 2022г. – 49,29% (276 случаев) 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*2 место – новообразования – 94 случая – 16,5% в структуре общей смертности, в 2022 году – 78 случая – 13,9% 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*3 место - заболевания органов пищеварения – 55 случаев – 9,6%, в 2022 году 40 случаев – 7,1%.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*4 место – внешние причины  -  50 случаев  – 8,76% в структуре общей смертности, в 2022 году – 49 случаев – 8,75%.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*5 место – симптомы, признаки, отклонения от норм, выявленные при клинических и лабораторных исследованиях, неклассифицированных в других рубриках – 46 случаев – 6,04%, в 2022 году 39 случаев – 6,96%.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В сравнении с прошлым годом наблюдается увеличение показателя смертности от болезней системы кровообращения на 0,72%, от внешних причин на 2,0%, от онкологических заболеваний на 20,5%; от болезней органов  пищеварения на 37,5%.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В трудоспособном возрасте показатель смертности составил – 786,9 (155 чел.) в 2022 году  685,7 (145 чел.)  на 100 000 населения трудоспособного возраста,  увеличился  на 14,76%. Средне-областной показатель  – 575,1.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Структура смертности населения в трудоспособном возрасте: 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*1 место -  болезни системы кровообращения – 51 случай – 32,9%,  2022г. - 43 случая – 29,7%,  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*2  место -  заболевания органов пищеварения – 30 случаев – 19,35%, 2022г. - 19 случаев – 13,1%.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lastRenderedPageBreak/>
        <w:t>*3 место – внешние причины -  30 случая – 19,35%,  2022г. - 34 случая – 23,45%.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*4 место – онкологические заболевания – 19 случаев – 12,26%, 2022г. – 15 случаев – 10,3%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*5 место некоторые инфекционные и паразитарные инфекции – 11 случаев – 7,1%, 2022г. - 16 случаев – 11,0%.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 В сравнении с прошлым годом показатель смертности в трудоспособном возрасте увеличился от болезней системы кровообращения на 30,36%, от онкологических заболеваний на 36,11%,  от болезней органов пищеварения на 69,41%. В сравнении с прошлым годом показатель смертности в трудоспособном возрасте снизился от внешних причин на 5,29%.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Удельный вес трудоспособного населения в числе всех  умерших составил – 27,15%, в 2022году – 25,9%.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 Показатель младенческой смертности составил 0 на 1000 родившихся, в 2022 году – 2,8%.</w:t>
      </w:r>
    </w:p>
    <w:p w:rsidR="006C7A9A" w:rsidRPr="006C7A9A" w:rsidRDefault="006C7A9A" w:rsidP="006C7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*Показатель естественной убыли в 2023 году  составили 6,7 (показатель рождаемости – 8,6; смертности – 15,3).</w:t>
      </w:r>
    </w:p>
    <w:p w:rsidR="006C7A9A" w:rsidRPr="006C7A9A" w:rsidRDefault="006C7A9A" w:rsidP="006C7A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b/>
          <w:sz w:val="28"/>
          <w:szCs w:val="32"/>
        </w:rPr>
        <w:t>Обеспеченность медицинскими кадрами</w:t>
      </w:r>
    </w:p>
    <w:p w:rsidR="006C7A9A" w:rsidRPr="006C7A9A" w:rsidRDefault="006C7A9A" w:rsidP="006C7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Обеспеченность врачами в ЦРБ за 2023 год составила 15,3 на                             10 тыс. населения, физических лиц – 57 человек; 25,0% составляют врачи пенсионного возраста; 3,6% составляют врачи до 30 лет. Целевой показатель – 30,3 на 10 тыс. населения. </w:t>
      </w:r>
    </w:p>
    <w:p w:rsidR="006C7A9A" w:rsidRPr="006C7A9A" w:rsidRDefault="006C7A9A" w:rsidP="006C7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Обеспеченность средними медицинскими работниками – 65,0 на 10 тыс. населения, физических лиц – 242 человек; 32,0% - пенсионного возраста; до 30 лет – 14,5%. Целевой показатель – 85,8 на 10 тыс. населения.</w:t>
      </w:r>
    </w:p>
    <w:p w:rsidR="006C7A9A" w:rsidRPr="006C7A9A" w:rsidRDefault="006C7A9A" w:rsidP="006C7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Администрация больницы продолжает заниматься решением кадровых вопросов. Всего по целевому направлению обучается в УГМУ 26 человек. </w:t>
      </w:r>
    </w:p>
    <w:p w:rsidR="006C7A9A" w:rsidRPr="006C7A9A" w:rsidRDefault="006C7A9A" w:rsidP="006C7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В поликлинике функционирует отделение медицинской профилактики, которое выполняет функцию координатора и организатора диспансеризации определенных групп взрослого населения. Плановое задание 2023 года по диспансеризации выполнено на 51,1%, - осмотрено 6848 человек из запланированных 13388. Профилактические осмотры выполнены на 100,4 %, осмотрено 2070 человек из запланированных 2061. Углубленная диспансеризация выполнена на 41,3 %, осмотрено 1500 человек из запланированных 3629.</w:t>
      </w:r>
    </w:p>
    <w:p w:rsidR="006C7A9A" w:rsidRPr="006C7A9A" w:rsidRDefault="006C7A9A" w:rsidP="006C7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Пациенты с вновь выявленными заболеваниями проходят дообследование, взяты под динамическое наблюдение. </w:t>
      </w:r>
    </w:p>
    <w:tbl>
      <w:tblPr>
        <w:tblpPr w:leftFromText="180" w:rightFromText="180" w:vertAnchor="page" w:horzAnchor="margin" w:tblpXSpec="center" w:tblpY="11450"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931"/>
        <w:gridCol w:w="1195"/>
        <w:gridCol w:w="931"/>
        <w:gridCol w:w="1209"/>
        <w:gridCol w:w="931"/>
        <w:gridCol w:w="955"/>
      </w:tblGrid>
      <w:tr w:rsidR="006C7A9A" w:rsidRPr="006C7A9A" w:rsidTr="00A44775"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2022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2023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Анализ</w:t>
            </w:r>
          </w:p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2023/2022</w:t>
            </w:r>
          </w:p>
        </w:tc>
      </w:tr>
      <w:tr w:rsidR="006C7A9A" w:rsidRPr="006C7A9A" w:rsidTr="00A447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чело-век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на 10 тыс. насел.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чело-век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на 10 тыс.  насел.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чело-век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%</w:t>
            </w:r>
          </w:p>
        </w:tc>
      </w:tr>
      <w:tr w:rsidR="006C7A9A" w:rsidRPr="006C7A9A" w:rsidTr="00A4477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9A" w:rsidRPr="006C7A9A" w:rsidRDefault="006C7A9A" w:rsidP="006C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Врачи</w:t>
            </w:r>
          </w:p>
          <w:p w:rsidR="006C7A9A" w:rsidRPr="006C7A9A" w:rsidRDefault="006C7A9A" w:rsidP="006C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+1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101,8</w:t>
            </w:r>
          </w:p>
        </w:tc>
      </w:tr>
      <w:tr w:rsidR="006C7A9A" w:rsidRPr="006C7A9A" w:rsidTr="00A4477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9A" w:rsidRPr="006C7A9A" w:rsidRDefault="006C7A9A" w:rsidP="006C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участковые врачи-терапевты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+1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150,0</w:t>
            </w:r>
          </w:p>
        </w:tc>
      </w:tr>
      <w:tr w:rsidR="006C7A9A" w:rsidRPr="006C7A9A" w:rsidTr="00A4477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9A" w:rsidRPr="006C7A9A" w:rsidRDefault="006C7A9A" w:rsidP="006C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участковые врачи-педиатры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100,0</w:t>
            </w:r>
          </w:p>
        </w:tc>
      </w:tr>
      <w:tr w:rsidR="006C7A9A" w:rsidRPr="006C7A9A" w:rsidTr="00A4477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9A" w:rsidRPr="006C7A9A" w:rsidRDefault="006C7A9A" w:rsidP="006C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врачи ОВП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1,07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80,0</w:t>
            </w:r>
          </w:p>
        </w:tc>
      </w:tr>
      <w:tr w:rsidR="006C7A9A" w:rsidRPr="006C7A9A" w:rsidTr="00A4477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9A" w:rsidRPr="006C7A9A" w:rsidRDefault="006C7A9A" w:rsidP="006C7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Средний медперсонал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-1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9A" w:rsidRPr="006C7A9A" w:rsidRDefault="006C7A9A" w:rsidP="006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7A9A">
              <w:rPr>
                <w:rFonts w:ascii="Times New Roman" w:eastAsia="Times New Roman" w:hAnsi="Times New Roman" w:cs="Times New Roman"/>
                <w:sz w:val="28"/>
                <w:szCs w:val="32"/>
              </w:rPr>
              <w:t>99,6</w:t>
            </w:r>
          </w:p>
        </w:tc>
      </w:tr>
    </w:tbl>
    <w:p w:rsidR="006C7A9A" w:rsidRPr="006C7A9A" w:rsidRDefault="006C7A9A" w:rsidP="006C7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В 2023 году продолжалось оказание паллиативной медицинской помощи поликлинической службой взрослому населению – количество пациентов состоящих на учете – 95 человек; так же продолжается оказание паллиативной помощи детскому населению – на учете состоит – 5 детей. </w:t>
      </w:r>
    </w:p>
    <w:p w:rsidR="006C7A9A" w:rsidRPr="006C7A9A" w:rsidRDefault="006C7A9A" w:rsidP="006C7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В 2023 году получено на нац.проекту 2 машины скорой помощи, 1 машина «Нива».</w:t>
      </w:r>
    </w:p>
    <w:p w:rsidR="006C7A9A" w:rsidRPr="006C7A9A" w:rsidRDefault="006C7A9A" w:rsidP="006C7A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В рамках реализации муниципальной программы «Новое качество жизни жителей Невьянского городского округа до 2025 года» проведены следующие мероприятия: 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</w:t>
      </w:r>
      <w:r w:rsidRPr="006C7A9A">
        <w:rPr>
          <w:rFonts w:ascii="Times New Roman" w:eastAsia="Times New Roman" w:hAnsi="Times New Roman" w:cs="Times New Roman"/>
          <w:b/>
          <w:sz w:val="28"/>
          <w:szCs w:val="32"/>
        </w:rPr>
        <w:t>Подпрограмма «Вакцинопрофилактика».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Приобретено за счет средств местного бюджета  иммунобиологических препаратов на 234000,0 тыс. руб.,  программа реализована на  100 %.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 Было привлечено средств граждан и средств предприятий на 1296630,00 руб. В течение года в рамках ПНП проводилась дополнительная иммунизация населения против вирусного гепатита А и  В, полиомиелита, гриппа, клещевого энцефалита.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Реализация мероприятий программы позволила добиться определенных успехов: не зарегистрировано за год ни одного случая дифтерии, паротита, краснухи. Охват детского населения прививками достиг установленных нормативов.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По ПНП по разделу дополнительной иммунизации привито от гриппа 21139 человек (82,2% от плана). Все население привито на 55,7%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*Подпрограмма «Туберкулез» 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Имеется лицензия на противотуберкулезную службу, в том числе дневной стационар на 22  места. Служба укомплектована на 50% врачами фтизиатрами участковыми.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</w:t>
      </w:r>
      <w:r w:rsidRPr="006C7A9A">
        <w:rPr>
          <w:rFonts w:ascii="Times New Roman" w:eastAsia="Times New Roman" w:hAnsi="Times New Roman" w:cs="Times New Roman"/>
          <w:b/>
          <w:sz w:val="28"/>
          <w:szCs w:val="32"/>
        </w:rPr>
        <w:t>Подпрограмма «Онкология»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В 2023 году активизированы мероприятия по раннему выявлению ЗН: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Охват населения рентгено-флюорографическое обследованием - 22152 </w:t>
      </w:r>
      <w:r w:rsidRPr="006C7A9A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чел. – 70,63% от годового плана. 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Продолжает работу смотровой кабинет при поликлинике. За 2023 год осмотрено -  2930 женщин, проведено 5713 цитологических исследований. Проводится маршрутизация   больных с подозрением на ЗН в ЦАОП ГБ №4 г.Нижнего Тагила. 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Финансовых средств за счет местного бюджета не выделялось.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</w:t>
      </w:r>
      <w:r w:rsidRPr="006C7A9A">
        <w:rPr>
          <w:rFonts w:ascii="Times New Roman" w:eastAsia="Times New Roman" w:hAnsi="Times New Roman" w:cs="Times New Roman"/>
          <w:b/>
          <w:sz w:val="28"/>
          <w:szCs w:val="32"/>
        </w:rPr>
        <w:t>Подпрограмма «Сахарный диабет»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В целях раннего выявления нарушений углеводного обмена у пациентов врачами общей лечебной сети усилена профилактическая работа. При проведении диспансеризации определенных групп взрослого населения  обязательно проводится исследование сахара крови. В 2023 году взято на диспансерное наблюдение 115 чел., в том числе 1 тип – 2 чел., 2 тип – 113 чел. Всего под наблюдением врача эндокринолога находится  1 843 человека.</w:t>
      </w:r>
    </w:p>
    <w:p w:rsidR="006C7A9A" w:rsidRPr="006C7A9A" w:rsidRDefault="006C7A9A" w:rsidP="006C7A9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Финансовых средств за счет местного бюджета не выделялось.</w:t>
      </w:r>
    </w:p>
    <w:p w:rsidR="006C7A9A" w:rsidRPr="006C7A9A" w:rsidRDefault="006C7A9A" w:rsidP="006C7A9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6C7A9A" w:rsidRPr="006C7A9A" w:rsidRDefault="006C7A9A" w:rsidP="006C7A9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</w:t>
      </w:r>
      <w:r w:rsidRPr="006C7A9A">
        <w:rPr>
          <w:rFonts w:ascii="Times New Roman" w:eastAsia="Times New Roman" w:hAnsi="Times New Roman" w:cs="Times New Roman"/>
          <w:b/>
          <w:sz w:val="28"/>
          <w:szCs w:val="32"/>
        </w:rPr>
        <w:t>Подпрограмма «Вирусные гепатиты»</w:t>
      </w: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Первичная заболеваемость остром вирусным гепатитом: в 2023г. не зарегистрировано,  2022г - не зарегистрировано, в 2021г. – не зарегистрировано;   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 Проведено обследование на гепатит В – 4115 чел., выявлено 45 носителей гепатита В, в 2022 году  - 4033 чел. выявлено 38 чел. носителей гепатита В. 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Обследовано на гепатит С 4109 чел., выявлено 261 носитель гепатита С, в 2022 году обследовано - 4033 чел.,  выявлено  215 чел. носителей вируса гепатита С.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Финансовых средств за счет местного бюджета не выделялось.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*</w:t>
      </w:r>
      <w:r w:rsidRPr="006C7A9A">
        <w:rPr>
          <w:rFonts w:ascii="Times New Roman" w:eastAsia="Times New Roman" w:hAnsi="Times New Roman" w:cs="Times New Roman"/>
          <w:b/>
          <w:sz w:val="28"/>
          <w:szCs w:val="32"/>
        </w:rPr>
        <w:t>Подпрограмма «ВИЧ»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Скрининговым обследованием населения на ВИЧ охвачено 98,2% населения округа (план 9177, факт - 9009).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 Вновь выявлено ВИЧ (+) – 39 чел., АРВТ получают  444 чел.                                                                                                                                                           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Ежеквартально проводились заседания межведомственной комиссии в администрации НГО.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Охват полной схемой химиопрофилактики ВИЧ–инфекции беременных  составил 100% от общего числа подлежащих химиопрофилактике.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b/>
          <w:sz w:val="28"/>
          <w:szCs w:val="32"/>
        </w:rPr>
        <w:t>*«Профилактика наркомании»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В 2023 году вновь взято на диспансерный учет пациентов с диагнозом  наркомания – 2чел. (в 2022 году – 14 чел.)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>Вопросы состояния наркотической ситуации в НГО и  выполнение  мероприятий  программы заслушивались на заседаниях антинаркотической комиссии Невьянского городского округа.</w:t>
      </w:r>
    </w:p>
    <w:p w:rsidR="006C7A9A" w:rsidRPr="006C7A9A" w:rsidRDefault="006C7A9A" w:rsidP="006C7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C66" w:rsidRPr="00DB4151" w:rsidRDefault="006C7A9A" w:rsidP="007E54A9">
      <w:pPr>
        <w:spacing w:after="0" w:line="288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C7A9A">
        <w:rPr>
          <w:rFonts w:ascii="Times New Roman" w:eastAsia="Times New Roman" w:hAnsi="Times New Roman" w:cs="Times New Roman"/>
          <w:sz w:val="28"/>
          <w:szCs w:val="32"/>
        </w:rPr>
        <w:t xml:space="preserve">              Главный врач                                                     </w:t>
      </w:r>
      <w:r w:rsidRPr="006C7A9A">
        <w:rPr>
          <w:rFonts w:ascii="Times New Roman" w:eastAsia="Times New Roman" w:hAnsi="Times New Roman" w:cs="Times New Roman"/>
          <w:sz w:val="28"/>
          <w:szCs w:val="32"/>
        </w:rPr>
        <w:tab/>
      </w:r>
      <w:r w:rsidRPr="006C7A9A">
        <w:rPr>
          <w:rFonts w:ascii="Times New Roman" w:eastAsia="Times New Roman" w:hAnsi="Times New Roman" w:cs="Times New Roman"/>
          <w:sz w:val="28"/>
          <w:szCs w:val="32"/>
        </w:rPr>
        <w:tab/>
        <w:t xml:space="preserve">       Д.В.</w:t>
      </w:r>
      <w:r w:rsidR="00902CEB" w:rsidRPr="007E54A9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6C7A9A">
        <w:rPr>
          <w:rFonts w:ascii="Times New Roman" w:eastAsia="Times New Roman" w:hAnsi="Times New Roman" w:cs="Times New Roman"/>
          <w:sz w:val="28"/>
          <w:szCs w:val="32"/>
        </w:rPr>
        <w:t>Волков</w:t>
      </w:r>
    </w:p>
    <w:sectPr w:rsidR="00521C66" w:rsidRPr="00DB4151" w:rsidSect="00122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F6" w:rsidRDefault="002A71F6" w:rsidP="00567955">
      <w:pPr>
        <w:spacing w:after="0" w:line="240" w:lineRule="auto"/>
      </w:pPr>
      <w:r>
        <w:separator/>
      </w:r>
    </w:p>
  </w:endnote>
  <w:endnote w:type="continuationSeparator" w:id="0">
    <w:p w:rsidR="002A71F6" w:rsidRDefault="002A71F6" w:rsidP="0056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F6" w:rsidRDefault="002A71F6" w:rsidP="00567955">
      <w:pPr>
        <w:spacing w:after="0" w:line="240" w:lineRule="auto"/>
      </w:pPr>
      <w:r>
        <w:separator/>
      </w:r>
    </w:p>
  </w:footnote>
  <w:footnote w:type="continuationSeparator" w:id="0">
    <w:p w:rsidR="002A71F6" w:rsidRDefault="002A71F6" w:rsidP="0056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Default="00B00B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962208"/>
      <w:docPartObj>
        <w:docPartGallery w:val="Page Numbers (Top of Page)"/>
        <w:docPartUnique/>
      </w:docPartObj>
    </w:sdtPr>
    <w:sdtEndPr/>
    <w:sdtContent>
      <w:p w:rsidR="00B00B85" w:rsidRDefault="00B00B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D42">
          <w:rPr>
            <w:noProof/>
          </w:rPr>
          <w:t>4</w:t>
        </w:r>
        <w:r>
          <w:fldChar w:fldCharType="end"/>
        </w:r>
      </w:p>
    </w:sdtContent>
  </w:sdt>
  <w:p w:rsidR="00B00B85" w:rsidRPr="00217CFB" w:rsidRDefault="00B00B85" w:rsidP="00F00257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85" w:rsidRPr="00217CFB" w:rsidRDefault="00B00B85" w:rsidP="00F0025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80"/>
    <w:multiLevelType w:val="hybridMultilevel"/>
    <w:tmpl w:val="FF70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B3753"/>
    <w:multiLevelType w:val="hybridMultilevel"/>
    <w:tmpl w:val="0E7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D57D1"/>
    <w:multiLevelType w:val="hybridMultilevel"/>
    <w:tmpl w:val="55E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E41F8"/>
    <w:multiLevelType w:val="multilevel"/>
    <w:tmpl w:val="103ADF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  <w:sz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03"/>
    <w:rsid w:val="00003FA9"/>
    <w:rsid w:val="0004355D"/>
    <w:rsid w:val="00071FF6"/>
    <w:rsid w:val="00083D42"/>
    <w:rsid w:val="000B76FE"/>
    <w:rsid w:val="000C1DA0"/>
    <w:rsid w:val="000C22A8"/>
    <w:rsid w:val="000E5812"/>
    <w:rsid w:val="000F6F24"/>
    <w:rsid w:val="00122A00"/>
    <w:rsid w:val="00137738"/>
    <w:rsid w:val="00145675"/>
    <w:rsid w:val="00190300"/>
    <w:rsid w:val="00197910"/>
    <w:rsid w:val="001A50AC"/>
    <w:rsid w:val="001E186C"/>
    <w:rsid w:val="001E4BE7"/>
    <w:rsid w:val="00223682"/>
    <w:rsid w:val="00271AA3"/>
    <w:rsid w:val="00282BB9"/>
    <w:rsid w:val="00292838"/>
    <w:rsid w:val="002A2FA5"/>
    <w:rsid w:val="002A3CC9"/>
    <w:rsid w:val="002A71F6"/>
    <w:rsid w:val="002C2A82"/>
    <w:rsid w:val="002D4E5A"/>
    <w:rsid w:val="002F1585"/>
    <w:rsid w:val="002F527F"/>
    <w:rsid w:val="00315BE6"/>
    <w:rsid w:val="00317510"/>
    <w:rsid w:val="003208CC"/>
    <w:rsid w:val="00330DC7"/>
    <w:rsid w:val="00362DD1"/>
    <w:rsid w:val="00376FA0"/>
    <w:rsid w:val="003801C7"/>
    <w:rsid w:val="003D2E0C"/>
    <w:rsid w:val="003E6FD4"/>
    <w:rsid w:val="0041523E"/>
    <w:rsid w:val="00441377"/>
    <w:rsid w:val="00455360"/>
    <w:rsid w:val="00485126"/>
    <w:rsid w:val="004A6D6F"/>
    <w:rsid w:val="004B3B2D"/>
    <w:rsid w:val="004D0183"/>
    <w:rsid w:val="004F4595"/>
    <w:rsid w:val="004F6F68"/>
    <w:rsid w:val="004F7596"/>
    <w:rsid w:val="0050124D"/>
    <w:rsid w:val="00506D6A"/>
    <w:rsid w:val="00515931"/>
    <w:rsid w:val="00521C66"/>
    <w:rsid w:val="00533809"/>
    <w:rsid w:val="0054291D"/>
    <w:rsid w:val="005525AE"/>
    <w:rsid w:val="0056340C"/>
    <w:rsid w:val="00563730"/>
    <w:rsid w:val="00567955"/>
    <w:rsid w:val="005703C7"/>
    <w:rsid w:val="00574DAB"/>
    <w:rsid w:val="00591A11"/>
    <w:rsid w:val="005B22BE"/>
    <w:rsid w:val="005C4C9A"/>
    <w:rsid w:val="006139F5"/>
    <w:rsid w:val="00617AE4"/>
    <w:rsid w:val="00620904"/>
    <w:rsid w:val="00645BE7"/>
    <w:rsid w:val="00685BED"/>
    <w:rsid w:val="006945D7"/>
    <w:rsid w:val="006C7A9A"/>
    <w:rsid w:val="006F101B"/>
    <w:rsid w:val="0071669F"/>
    <w:rsid w:val="007455CB"/>
    <w:rsid w:val="00756C93"/>
    <w:rsid w:val="007621FB"/>
    <w:rsid w:val="007A0693"/>
    <w:rsid w:val="007A450D"/>
    <w:rsid w:val="007B09F5"/>
    <w:rsid w:val="007E54A9"/>
    <w:rsid w:val="008434EE"/>
    <w:rsid w:val="008772D9"/>
    <w:rsid w:val="00896D29"/>
    <w:rsid w:val="00897EC5"/>
    <w:rsid w:val="008C1290"/>
    <w:rsid w:val="008C1F8A"/>
    <w:rsid w:val="008C3942"/>
    <w:rsid w:val="008D0503"/>
    <w:rsid w:val="00902CEB"/>
    <w:rsid w:val="00903A99"/>
    <w:rsid w:val="00935865"/>
    <w:rsid w:val="00937191"/>
    <w:rsid w:val="00941D37"/>
    <w:rsid w:val="00972CEF"/>
    <w:rsid w:val="009970FF"/>
    <w:rsid w:val="009B47FD"/>
    <w:rsid w:val="009C0589"/>
    <w:rsid w:val="009F0DAE"/>
    <w:rsid w:val="009F3880"/>
    <w:rsid w:val="00A24FDA"/>
    <w:rsid w:val="00A25FD8"/>
    <w:rsid w:val="00A46E12"/>
    <w:rsid w:val="00A5012D"/>
    <w:rsid w:val="00A52547"/>
    <w:rsid w:val="00A57E41"/>
    <w:rsid w:val="00A700EB"/>
    <w:rsid w:val="00AA454E"/>
    <w:rsid w:val="00AB12DC"/>
    <w:rsid w:val="00B00B85"/>
    <w:rsid w:val="00B02F69"/>
    <w:rsid w:val="00B1503D"/>
    <w:rsid w:val="00B30C3A"/>
    <w:rsid w:val="00B35384"/>
    <w:rsid w:val="00B57889"/>
    <w:rsid w:val="00B71318"/>
    <w:rsid w:val="00C0299D"/>
    <w:rsid w:val="00C031F5"/>
    <w:rsid w:val="00C3523C"/>
    <w:rsid w:val="00CA4133"/>
    <w:rsid w:val="00CD1983"/>
    <w:rsid w:val="00CF308D"/>
    <w:rsid w:val="00CF3BD0"/>
    <w:rsid w:val="00D25A60"/>
    <w:rsid w:val="00D60A34"/>
    <w:rsid w:val="00D6130D"/>
    <w:rsid w:val="00D675A8"/>
    <w:rsid w:val="00D74BCF"/>
    <w:rsid w:val="00D93E28"/>
    <w:rsid w:val="00DB4151"/>
    <w:rsid w:val="00DD0444"/>
    <w:rsid w:val="00DF6700"/>
    <w:rsid w:val="00E04667"/>
    <w:rsid w:val="00E159D5"/>
    <w:rsid w:val="00E526B2"/>
    <w:rsid w:val="00E57B4D"/>
    <w:rsid w:val="00E65020"/>
    <w:rsid w:val="00E67C35"/>
    <w:rsid w:val="00E82ABB"/>
    <w:rsid w:val="00EA0CB7"/>
    <w:rsid w:val="00EB5A54"/>
    <w:rsid w:val="00EE1405"/>
    <w:rsid w:val="00EF1BCF"/>
    <w:rsid w:val="00F00257"/>
    <w:rsid w:val="00F119BF"/>
    <w:rsid w:val="00F45932"/>
    <w:rsid w:val="00F70027"/>
    <w:rsid w:val="00F97103"/>
    <w:rsid w:val="00FB06DF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F75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759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qFormat/>
    <w:rsid w:val="00B150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2D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62D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2DD1"/>
  </w:style>
  <w:style w:type="paragraph" w:styleId="a7">
    <w:name w:val="header"/>
    <w:basedOn w:val="a"/>
    <w:link w:val="a8"/>
    <w:uiPriority w:val="99"/>
    <w:rsid w:val="00E57B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7B4D"/>
    <w:rPr>
      <w:rFonts w:ascii="Times New Roman" w:eastAsia="MS Mincho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B4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772D9"/>
    <w:rPr>
      <w:b/>
      <w:bCs/>
    </w:rPr>
  </w:style>
  <w:style w:type="paragraph" w:styleId="ac">
    <w:name w:val="footer"/>
    <w:basedOn w:val="a"/>
    <w:link w:val="ad"/>
    <w:uiPriority w:val="99"/>
    <w:unhideWhenUsed/>
    <w:rsid w:val="00B0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4F75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759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qFormat/>
    <w:rsid w:val="00B150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2DD1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62D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2DD1"/>
  </w:style>
  <w:style w:type="paragraph" w:styleId="a7">
    <w:name w:val="header"/>
    <w:basedOn w:val="a"/>
    <w:link w:val="a8"/>
    <w:uiPriority w:val="99"/>
    <w:rsid w:val="00E57B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57B4D"/>
    <w:rPr>
      <w:rFonts w:ascii="Times New Roman" w:eastAsia="MS Mincho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B4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772D9"/>
    <w:rPr>
      <w:b/>
      <w:bCs/>
    </w:rPr>
  </w:style>
  <w:style w:type="paragraph" w:styleId="ac">
    <w:name w:val="footer"/>
    <w:basedOn w:val="a"/>
    <w:link w:val="ad"/>
    <w:uiPriority w:val="99"/>
    <w:unhideWhenUsed/>
    <w:rsid w:val="00B00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ОргМетод</dc:creator>
  <cp:lastModifiedBy>hunter</cp:lastModifiedBy>
  <cp:revision>2</cp:revision>
  <cp:lastPrinted>2024-03-26T08:47:00Z</cp:lastPrinted>
  <dcterms:created xsi:type="dcterms:W3CDTF">2024-07-05T19:02:00Z</dcterms:created>
  <dcterms:modified xsi:type="dcterms:W3CDTF">2024-07-05T19:02:00Z</dcterms:modified>
</cp:coreProperties>
</file>